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0075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imes New Roman" w:hAnsi="Times New Roman" w:eastAsia="仿宋_GB2312" w:cs="Times New Roman"/>
          <w:color w:val="000000"/>
          <w:kern w:val="2"/>
          <w:sz w:val="32"/>
          <w:szCs w:val="20"/>
          <w:lang w:val="en-US" w:eastAsia="zh-CN" w:bidi="ar-SA"/>
        </w:rPr>
      </w:pPr>
      <w:r>
        <w:rPr>
          <w:rFonts w:hint="eastAsia" w:ascii="Times New Roman" w:hAnsi="Times New Roman" w:eastAsia="仿宋_GB2312" w:cs="Times New Roman"/>
          <w:color w:val="000000"/>
          <w:kern w:val="2"/>
          <w:sz w:val="32"/>
          <w:szCs w:val="20"/>
          <w:lang w:val="en-US" w:eastAsia="zh-CN" w:bidi="ar-SA"/>
        </w:rPr>
        <w:t>附件2</w:t>
      </w:r>
    </w:p>
    <w:p w14:paraId="37FA151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方正小标宋简体" w:eastAsia="方正小标宋简体"/>
          <w:kern w:val="2"/>
          <w:sz w:val="44"/>
          <w:szCs w:val="44"/>
          <w:lang w:val="en-US" w:eastAsia="zh-CN"/>
        </w:rPr>
      </w:pPr>
      <w:bookmarkStart w:id="0" w:name="_GoBack"/>
      <w:r>
        <w:rPr>
          <w:rFonts w:hint="default" w:ascii="方正小标宋简体" w:eastAsia="方正小标宋简体"/>
          <w:kern w:val="2"/>
          <w:sz w:val="44"/>
          <w:szCs w:val="44"/>
          <w:lang w:val="en-US" w:eastAsia="zh-CN"/>
        </w:rPr>
        <w:t>设置</w:t>
      </w:r>
      <w:r>
        <w:rPr>
          <w:rFonts w:hint="eastAsia" w:ascii="方正小标宋简体" w:eastAsia="方正小标宋简体"/>
          <w:kern w:val="2"/>
          <w:sz w:val="44"/>
          <w:szCs w:val="44"/>
          <w:lang w:val="en-US" w:eastAsia="zh-CN"/>
        </w:rPr>
        <w:t>西南科技大学高等学历继续教育</w:t>
      </w:r>
      <w:r>
        <w:rPr>
          <w:rFonts w:hint="default" w:ascii="方正小标宋简体" w:eastAsia="方正小标宋简体"/>
          <w:kern w:val="2"/>
          <w:sz w:val="44"/>
          <w:szCs w:val="44"/>
          <w:lang w:val="en-US" w:eastAsia="zh-CN"/>
        </w:rPr>
        <w:t>校外教学点和开设相关专业的必要性和可行性论证报告（</w:t>
      </w:r>
      <w:r>
        <w:rPr>
          <w:rFonts w:hint="eastAsia" w:ascii="方正小标宋简体" w:eastAsia="方正小标宋简体"/>
          <w:kern w:val="2"/>
          <w:sz w:val="44"/>
          <w:szCs w:val="44"/>
          <w:lang w:val="en-US" w:eastAsia="zh-CN"/>
        </w:rPr>
        <w:t>模板</w:t>
      </w:r>
      <w:r>
        <w:rPr>
          <w:rFonts w:hint="default" w:ascii="方正小标宋简体" w:eastAsia="方正小标宋简体"/>
          <w:kern w:val="2"/>
          <w:sz w:val="44"/>
          <w:szCs w:val="44"/>
          <w:lang w:val="en-US" w:eastAsia="zh-CN"/>
        </w:rPr>
        <w:t>）</w:t>
      </w:r>
    </w:p>
    <w:bookmarkEnd w:id="0"/>
    <w:p w14:paraId="0A510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color w:val="000000"/>
          <w:kern w:val="2"/>
          <w:sz w:val="32"/>
          <w:szCs w:val="20"/>
          <w:lang w:val="en-US" w:eastAsia="zh-CN" w:bidi="ar-SA"/>
        </w:rPr>
      </w:pPr>
      <w:r>
        <w:rPr>
          <w:rFonts w:hint="eastAsia" w:ascii="Times New Roman" w:hAnsi="Times New Roman" w:eastAsia="仿宋_GB2312" w:cs="Times New Roman"/>
          <w:color w:val="000000"/>
          <w:kern w:val="2"/>
          <w:sz w:val="32"/>
          <w:szCs w:val="20"/>
          <w:lang w:val="en-US" w:eastAsia="zh-CN" w:bidi="ar-SA"/>
        </w:rPr>
        <w:t>西南科技大学：</w:t>
      </w:r>
    </w:p>
    <w:p w14:paraId="3BA95050">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ascii="Times New Roman" w:hAnsi="Times New Roman" w:eastAsia="仿宋_GB2312"/>
          <w:color w:val="000000"/>
          <w:sz w:val="32"/>
        </w:rPr>
        <w:t>根据</w:t>
      </w:r>
      <w:r>
        <w:rPr>
          <w:rFonts w:hint="default" w:ascii="仿宋_GB2312" w:hAnsi="仿宋" w:eastAsia="仿宋_GB2312" w:cs="仿宋"/>
          <w:kern w:val="0"/>
          <w:sz w:val="32"/>
          <w:szCs w:val="32"/>
          <w:lang w:val="en-US" w:eastAsia="zh-CN"/>
        </w:rPr>
        <w:t>《教育部办公厅关于严格规范高等学历继续教育校外教学点设置与管理工作的通知》（教职成厅〔2022〕1号）</w:t>
      </w:r>
      <w:r>
        <w:rPr>
          <w:rFonts w:hint="eastAsia" w:ascii="仿宋_GB2312" w:hAnsi="仿宋" w:eastAsia="仿宋_GB2312" w:cs="仿宋"/>
          <w:kern w:val="0"/>
          <w:sz w:val="32"/>
          <w:szCs w:val="32"/>
          <w:lang w:val="en-US" w:eastAsia="zh-CN"/>
        </w:rPr>
        <w:t>、</w:t>
      </w:r>
      <w:r>
        <w:rPr>
          <w:rFonts w:hint="default" w:ascii="仿宋_GB2312" w:hAnsi="仿宋" w:eastAsia="仿宋_GB2312" w:cs="仿宋"/>
          <w:kern w:val="0"/>
          <w:sz w:val="32"/>
          <w:szCs w:val="32"/>
          <w:lang w:val="en-US" w:eastAsia="zh-CN"/>
        </w:rPr>
        <w:t>《教育部关于推进新时代普通高等学校学历继续教育改革的实施意见》（教职成〔2022〕2号）和《四川省教育厅关于转发&lt;教育部办公厅关于严格规范高等学历继续教育校外教学点设置与管理工作的通知&gt;的通知》（川教函〔2022〕249号）</w:t>
      </w:r>
      <w:r>
        <w:rPr>
          <w:rFonts w:ascii="Times New Roman" w:hAnsi="Times New Roman" w:eastAsia="仿宋_GB2312"/>
          <w:color w:val="000000"/>
          <w:sz w:val="32"/>
        </w:rPr>
        <w:t>精神</w:t>
      </w:r>
      <w:r>
        <w:rPr>
          <w:rFonts w:hint="eastAsia" w:ascii="Times New Roman" w:hAnsi="Times New Roman" w:eastAsia="仿宋_GB2312"/>
          <w:color w:val="000000"/>
          <w:sz w:val="32"/>
          <w:lang w:val="en-US" w:eastAsia="zh-CN"/>
        </w:rPr>
        <w:t>及</w:t>
      </w:r>
      <w:r>
        <w:rPr>
          <w:rFonts w:hint="eastAsia" w:ascii="Times New Roman" w:hAnsi="Times New Roman" w:eastAsia="仿宋_GB2312"/>
          <w:color w:val="000000"/>
          <w:sz w:val="32"/>
          <w:lang w:eastAsia="zh-CN"/>
        </w:rPr>
        <w:t>相关</w:t>
      </w:r>
      <w:r>
        <w:rPr>
          <w:rFonts w:hint="eastAsia" w:ascii="仿宋_GB2312" w:hAnsi="仿宋" w:eastAsia="仿宋_GB2312" w:cs="仿宋"/>
          <w:kern w:val="0"/>
          <w:sz w:val="32"/>
          <w:szCs w:val="32"/>
          <w:lang w:val="en-US" w:eastAsia="zh-CN"/>
        </w:rPr>
        <w:t>要求，</w:t>
      </w:r>
      <w:r>
        <w:rPr>
          <w:rFonts w:hint="default" w:ascii="仿宋_GB2312" w:hAnsi="仿宋" w:eastAsia="仿宋_GB2312" w:cs="仿宋"/>
          <w:kern w:val="0"/>
          <w:sz w:val="32"/>
          <w:szCs w:val="32"/>
          <w:lang w:val="en-US" w:eastAsia="zh-CN"/>
        </w:rPr>
        <w:t>经我单位研究</w:t>
      </w:r>
      <w:r>
        <w:rPr>
          <w:rFonts w:hint="eastAsia" w:ascii="仿宋_GB2312" w:hAnsi="仿宋" w:eastAsia="仿宋_GB2312" w:cs="仿宋"/>
          <w:kern w:val="0"/>
          <w:sz w:val="32"/>
          <w:szCs w:val="32"/>
          <w:lang w:val="en-US" w:eastAsia="zh-CN"/>
        </w:rPr>
        <w:t>决定</w:t>
      </w:r>
      <w:r>
        <w:rPr>
          <w:rFonts w:hint="default" w:ascii="仿宋_GB2312" w:hAnsi="仿宋" w:eastAsia="仿宋_GB2312" w:cs="仿宋"/>
          <w:kern w:val="0"/>
          <w:sz w:val="32"/>
          <w:szCs w:val="32"/>
          <w:lang w:val="en-US" w:eastAsia="zh-CN"/>
        </w:rPr>
        <w:t>，向贵校申报</w:t>
      </w:r>
      <w:r>
        <w:rPr>
          <w:rFonts w:hint="eastAsia" w:ascii="仿宋_GB2312" w:hAnsi="仿宋" w:eastAsia="仿宋_GB2312" w:cs="仿宋"/>
          <w:kern w:val="0"/>
          <w:sz w:val="32"/>
          <w:szCs w:val="32"/>
          <w:lang w:val="en-US" w:eastAsia="zh-CN"/>
        </w:rPr>
        <w:t>设置西南科技大学</w:t>
      </w:r>
      <w:r>
        <w:rPr>
          <w:rFonts w:hint="default" w:ascii="仿宋_GB2312" w:hAnsi="仿宋" w:eastAsia="仿宋_GB2312" w:cs="仿宋"/>
          <w:kern w:val="0"/>
          <w:sz w:val="32"/>
          <w:szCs w:val="32"/>
          <w:lang w:val="en-US" w:eastAsia="zh-CN"/>
        </w:rPr>
        <w:t>高等学历继续教育校外教学点。现将设置校外教学点及开设相应专业的必要性、可行性报告如下</w:t>
      </w:r>
      <w:r>
        <w:rPr>
          <w:rFonts w:hint="eastAsia" w:ascii="仿宋_GB2312" w:hAnsi="仿宋" w:eastAsia="仿宋_GB2312" w:cs="仿宋"/>
          <w:kern w:val="0"/>
          <w:sz w:val="32"/>
          <w:szCs w:val="32"/>
          <w:lang w:val="en-US" w:eastAsia="zh-CN"/>
        </w:rPr>
        <w:t>。</w:t>
      </w:r>
    </w:p>
    <w:p w14:paraId="2127116A">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一、设点单位基本情况</w:t>
      </w:r>
    </w:p>
    <w:p w14:paraId="74A936F3">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（一）概况</w:t>
      </w:r>
    </w:p>
    <w:p w14:paraId="0456B86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主要说明设点单位办学理念，办学历史，近年来的主要办学情况等。</w:t>
      </w:r>
    </w:p>
    <w:p w14:paraId="3FAB53F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（二）教育教学设施情况</w:t>
      </w:r>
    </w:p>
    <w:p w14:paraId="4531E1E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主要说明可供校外教学点使用的场地、设施设备和学习资源等情况。</w:t>
      </w:r>
    </w:p>
    <w:p w14:paraId="79760E96">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参照《校外教学点评议要点参考》第7点“教学场所总面积不小于500平方米（学生规模为200人以下），学生规模每增加100人，教学场所总面积增加50平方米；直接用于教学的计算机不少于40台（学生规模为200人以下），机位数和学生数比例不低于1:5；图书藏量不少于5000册”。</w:t>
      </w:r>
    </w:p>
    <w:p w14:paraId="12DA7B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（三）师资队伍情况</w:t>
      </w:r>
    </w:p>
    <w:p w14:paraId="3EFCFD8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主要说明校外教学点辅导教师、教辅人员等师资队伍建设情况。</w:t>
      </w:r>
    </w:p>
    <w:p w14:paraId="1D90D1D6">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参照《</w:t>
      </w:r>
      <w:r>
        <w:rPr>
          <w:rFonts w:hint="default" w:ascii="仿宋_GB2312" w:hAnsi="仿宋" w:eastAsia="仿宋_GB2312" w:cs="仿宋"/>
          <w:kern w:val="0"/>
          <w:sz w:val="32"/>
          <w:szCs w:val="32"/>
          <w:lang w:val="en-US" w:eastAsia="zh-CN"/>
        </w:rPr>
        <w:t>教育部办公厅关于严格规范高等学历继续教育校外教学点设置与管理工作的通知</w:t>
      </w:r>
      <w:r>
        <w:rPr>
          <w:rFonts w:hint="eastAsia" w:ascii="仿宋_GB2312" w:hAnsi="仿宋" w:eastAsia="仿宋_GB2312" w:cs="仿宋"/>
          <w:kern w:val="0"/>
          <w:sz w:val="32"/>
          <w:szCs w:val="32"/>
          <w:lang w:val="en-US" w:eastAsia="zh-CN"/>
        </w:rPr>
        <w:t>》第五条要求“要配备与校外教学点学生规模相适应的专兼职教师、辅导教师队伍”“辅导教师由高校选派，也可经校外教学点推荐后由高校认定选用”。《教育部关于推进新时代普通高等学校学历继续教育改革的实施意见》（教职成〔2022〕2号）明确规定主讲教师（由学校准备）数与在籍学生数比例不低于1:200，辅导教师（原则上由设点单位准备）数与在籍学生数比例不低于1:100。</w:t>
      </w:r>
    </w:p>
    <w:p w14:paraId="017CCDA8">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设点单位在填报时，应结合拟招生人数和在校生人数按要求配足辅导教师和教辅人员等。</w:t>
      </w:r>
    </w:p>
    <w:p w14:paraId="7DFE9F2B">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（四）管理队伍情况</w:t>
      </w:r>
    </w:p>
    <w:p w14:paraId="1036EB5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主要说明校外教学点专兼职管理人员配备情况。</w:t>
      </w:r>
    </w:p>
    <w:p w14:paraId="7EB2DD3A">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参照《校外教学点评议要点参考》第7点“至少配备3名专职管理人员（含负责人1人），专兼职管理人员与学生比例不低于1:200”。</w:t>
      </w:r>
    </w:p>
    <w:p w14:paraId="68154843">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设点单位在填报时，应结合拟招生人数和在校生人数按要求配足专兼职管理人员。</w:t>
      </w:r>
    </w:p>
    <w:p w14:paraId="083420D4">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（五）制度建设</w:t>
      </w:r>
    </w:p>
    <w:p w14:paraId="5D154479">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主要说明校外教学点有</w:t>
      </w:r>
      <w:r>
        <w:rPr>
          <w:rFonts w:hint="default" w:ascii="仿宋_GB2312" w:hAnsi="仿宋" w:eastAsia="仿宋_GB2312" w:cs="仿宋"/>
          <w:kern w:val="0"/>
          <w:sz w:val="32"/>
          <w:szCs w:val="32"/>
          <w:lang w:val="en-US" w:eastAsia="zh-CN"/>
        </w:rPr>
        <w:t>健全完善的组织机构和管理制度</w:t>
      </w:r>
      <w:r>
        <w:rPr>
          <w:rFonts w:hint="eastAsia" w:ascii="仿宋_GB2312" w:hAnsi="仿宋" w:eastAsia="仿宋_GB2312" w:cs="仿宋"/>
          <w:kern w:val="0"/>
          <w:sz w:val="32"/>
          <w:szCs w:val="32"/>
          <w:lang w:val="en-US" w:eastAsia="zh-CN"/>
        </w:rPr>
        <w:t>。</w:t>
      </w:r>
    </w:p>
    <w:p w14:paraId="672F973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（六）生源需求分析</w:t>
      </w:r>
    </w:p>
    <w:p w14:paraId="449F54D4">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主要对所在地区生源情况进行分析。</w:t>
      </w:r>
    </w:p>
    <w:p w14:paraId="0D64472A">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二、设置校外教学点及开设相应专业的必要性</w:t>
      </w:r>
    </w:p>
    <w:p w14:paraId="0544F2C7">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（包括但不限于以下内容）</w:t>
      </w:r>
    </w:p>
    <w:p w14:paraId="4F360E3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（一）当地校外教学点设置情况分析</w:t>
      </w:r>
    </w:p>
    <w:p w14:paraId="5BAD10C3">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（二）当地社会经济发展需求</w:t>
      </w:r>
    </w:p>
    <w:p w14:paraId="5D59836D">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（三）当地专业人才需求</w:t>
      </w:r>
    </w:p>
    <w:p w14:paraId="6608549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三、设置校外教学点及开设相应专业的可行性  </w:t>
      </w:r>
    </w:p>
    <w:p w14:paraId="4344DE0A">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（一）XXXXXX</w:t>
      </w:r>
    </w:p>
    <w:p w14:paraId="4A5F4D5B">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（二）XXXXXX</w:t>
      </w:r>
    </w:p>
    <w:p w14:paraId="6B6E7CB8">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（三）XXXXXX</w:t>
      </w:r>
    </w:p>
    <w:p w14:paraId="11362C70">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四、结论</w:t>
      </w:r>
    </w:p>
    <w:p w14:paraId="41C8249D">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XXXXXX。</w:t>
      </w:r>
    </w:p>
    <w:p w14:paraId="37E817D4">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p>
    <w:p w14:paraId="2518F18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p>
    <w:p w14:paraId="05610B3F">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kern w:val="0"/>
          <w:sz w:val="32"/>
          <w:szCs w:val="32"/>
          <w:lang w:val="en-US" w:eastAsia="zh-CN"/>
        </w:rPr>
      </w:pPr>
    </w:p>
    <w:p w14:paraId="4CC91BC4">
      <w:pPr>
        <w:pStyle w:val="3"/>
        <w:keepNext w:val="0"/>
        <w:keepLines w:val="0"/>
        <w:pageBreakBefore w:val="0"/>
        <w:kinsoku/>
        <w:wordWrap/>
        <w:overflowPunct/>
        <w:topLinePunct w:val="0"/>
        <w:autoSpaceDE/>
        <w:autoSpaceDN/>
        <w:bidi w:val="0"/>
        <w:adjustRightInd/>
        <w:snapToGrid/>
        <w:spacing w:line="360" w:lineRule="auto"/>
        <w:ind w:firstLine="640" w:firstLineChars="200"/>
        <w:jc w:val="right"/>
        <w:textAlignment w:val="auto"/>
        <w:rPr>
          <w:rFonts w:ascii="Times New Roman" w:hAnsi="Times New Roman" w:eastAsia="仿宋_GB2312"/>
          <w:color w:val="000000"/>
          <w:sz w:val="32"/>
        </w:rPr>
      </w:pPr>
      <w:r>
        <w:rPr>
          <w:rFonts w:ascii="Times New Roman" w:hAnsi="Times New Roman" w:eastAsia="仿宋_GB2312"/>
          <w:color w:val="000000"/>
          <w:sz w:val="32"/>
        </w:rPr>
        <w:t>XX（申请单位）（盖章）</w:t>
      </w:r>
    </w:p>
    <w:p w14:paraId="252762C2">
      <w:pPr>
        <w:keepNext w:val="0"/>
        <w:keepLines w:val="0"/>
        <w:pageBreakBefore w:val="0"/>
        <w:kinsoku/>
        <w:wordWrap/>
        <w:overflowPunct/>
        <w:topLinePunct w:val="0"/>
        <w:autoSpaceDE/>
        <w:autoSpaceDN/>
        <w:bidi w:val="0"/>
        <w:adjustRightInd/>
        <w:snapToGrid/>
        <w:spacing w:line="360" w:lineRule="auto"/>
        <w:ind w:firstLine="5760" w:firstLineChars="1800"/>
        <w:textAlignment w:val="auto"/>
        <w:rPr>
          <w:rFonts w:hint="eastAsia" w:ascii="仿宋_GB2312" w:hAnsi="仿宋" w:eastAsia="仿宋_GB2312" w:cs="仿宋"/>
          <w:kern w:val="0"/>
          <w:sz w:val="32"/>
          <w:szCs w:val="32"/>
          <w:lang w:val="en-US" w:eastAsia="zh-CN"/>
        </w:rPr>
      </w:pPr>
      <w:r>
        <w:rPr>
          <w:rFonts w:ascii="Times New Roman" w:hAnsi="Times New Roman" w:eastAsia="仿宋_GB2312"/>
          <w:color w:val="000000"/>
          <w:sz w:val="32"/>
        </w:rPr>
        <w:t>20XX年X月X日</w:t>
      </w:r>
    </w:p>
    <w:p w14:paraId="4FC0E1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0"/>
          <w:sz w:val="32"/>
          <w:szCs w:val="32"/>
          <w:lang w:val="en-US" w:eastAsia="zh-CN"/>
        </w:rPr>
      </w:pPr>
    </w:p>
    <w:p w14:paraId="15FC74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948F8"/>
    <w:rsid w:val="1869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2026-04-09T01:06:00Z</dcterms:created>
  <dc:creator>CC</dc:creator>
  <cp:lastModifiedBy>CC</cp:lastModifiedBy>
  <dcterms:modified xsi:type="dcterms:W3CDTF">2026-04-09T01:07:39Z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77484708CA364F34A191190C2BD2D9C2_11</vt:lpwstr>
  </property>
  <property fmtid="{D5CDD505-2E9C-101B-9397-08002B2CF9AE}" pid="4" name="KSOTemplateDocerSaveRecord">
    <vt:lpwstr>eyJoZGlkIjoiOWE2NDNlZTAxNjUwNzU2YTEwZWZmMDYyYmIyODZkMmUiLCJ1c2VySWQiOiI2MzIzNjg1NDIifQ==</vt:lpwstr>
  </property>
</Properties>
</file>